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268"/>
        <w:gridCol w:w="312"/>
        <w:gridCol w:w="2410"/>
      </w:tblGrid>
      <w:tr w:rsidTr="0011449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69"/>
        </w:trPr>
        <w:tc>
          <w:tcPr>
            <w:tcW w:w="4786" w:type="dxa"/>
            <w:tcBorders>
              <w:top w:val="single" w:sz="4" w:space="0" w:color="auto"/>
            </w:tcBorders>
            <w:shd w:val="clear" w:color="auto" w:fill="BFBFBF"/>
            <w:vAlign w:val="center"/>
          </w:tcPr>
          <w:p w:rsidR="0011449F" w:rsidRPr="00D4431F"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rsidR="0011449F" w:rsidRPr="00D4431F"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rsidR="0011449F" w:rsidRPr="00D4431F"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786268610" name="Picture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Tr="0011449F">
        <w:tblPrEx>
          <w:tblW w:w="9776" w:type="dxa"/>
          <w:tblLayout w:type="fixed"/>
          <w:tblLook w:val="0000"/>
        </w:tblPrEx>
        <w:trPr>
          <w:cantSplit/>
          <w:trHeight w:val="654"/>
        </w:trPr>
        <w:tc>
          <w:tcPr>
            <w:tcW w:w="4786" w:type="dxa"/>
            <w:tcBorders>
              <w:bottom w:val="nil"/>
            </w:tcBorders>
            <w:vAlign w:val="center"/>
          </w:tcPr>
          <w:p w:rsidR="0011449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rsidR="0011449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25 May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rsidR="0011449F" w:rsidP="006149F1">
            <w:pPr>
              <w:spacing w:line="240" w:lineRule="auto"/>
              <w:jc w:val="center"/>
              <w:rPr>
                <w:rFonts w:cstheme="minorHAnsi"/>
                <w:b/>
                <w:bCs/>
              </w:rPr>
            </w:pPr>
          </w:p>
        </w:tc>
      </w:tr>
      <w:tr w:rsidTr="0011449F">
        <w:tblPrEx>
          <w:tblW w:w="9776" w:type="dxa"/>
          <w:tblLayout w:type="fixed"/>
          <w:tblLook w:val="0000"/>
        </w:tblPrEx>
        <w:trPr>
          <w:cantSplit/>
          <w:trHeight w:val="560"/>
        </w:trPr>
        <w:tc>
          <w:tcPr>
            <w:tcW w:w="7054" w:type="dxa"/>
            <w:gridSpan w:val="2"/>
            <w:tcBorders>
              <w:left w:val="nil"/>
              <w:right w:val="nil"/>
            </w:tcBorders>
          </w:tcPr>
          <w:p w:rsidR="0011449F" w:rsidRPr="00D4431F"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rsidR="0011449F" w:rsidRPr="00D4431F" w:rsidP="00D4431F">
            <w:pPr>
              <w:spacing w:line="240" w:lineRule="auto"/>
              <w:jc w:val="both"/>
              <w:rPr>
                <w:rFonts w:cstheme="minorHAnsi"/>
                <w:b/>
                <w:bCs/>
              </w:rPr>
            </w:pPr>
          </w:p>
        </w:tc>
      </w:tr>
      <w:tr w:rsidTr="0011449F">
        <w:tblPrEx>
          <w:tblW w:w="9776" w:type="dxa"/>
          <w:tblLayout w:type="fixed"/>
          <w:tblLook w:val="0000"/>
        </w:tblPrEx>
        <w:trPr>
          <w:cantSplit/>
        </w:trPr>
        <w:tc>
          <w:tcPr>
            <w:tcW w:w="7366" w:type="dxa"/>
            <w:gridSpan w:val="3"/>
            <w:shd w:val="clear" w:color="auto" w:fill="BFBFBF"/>
            <w:vAlign w:val="center"/>
          </w:tcPr>
          <w:p w:rsidR="0011449F"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rsidR="0011449F" w:rsidRPr="00D4431F" w:rsidP="001B5749">
            <w:pPr>
              <w:spacing w:line="240" w:lineRule="auto"/>
              <w:jc w:val="center"/>
              <w:rPr>
                <w:rFonts w:cstheme="minorHAnsi"/>
                <w:b/>
                <w:bCs/>
              </w:rPr>
            </w:pPr>
            <w:r>
              <w:rPr>
                <w:rFonts w:cstheme="minorHAnsi"/>
                <w:b/>
                <w:bCs/>
              </w:rPr>
              <w:t>Report of</w:t>
            </w:r>
          </w:p>
        </w:tc>
      </w:tr>
      <w:tr w:rsidTr="0011449F">
        <w:tblPrEx>
          <w:tblW w:w="9776" w:type="dxa"/>
          <w:tblLayout w:type="fixed"/>
          <w:tblLook w:val="0000"/>
        </w:tblPrEx>
        <w:trPr>
          <w:cantSplit/>
          <w:trHeight w:val="667"/>
        </w:trPr>
        <w:tc>
          <w:tcPr>
            <w:tcW w:w="7366" w:type="dxa"/>
            <w:gridSpan w:val="3"/>
            <w:vAlign w:val="center"/>
          </w:tcPr>
          <w:p w:rsidR="0011449F" w:rsidRPr="0011449F" w:rsidP="0011449F">
            <w:pPr>
              <w:spacing w:line="240" w:lineRule="auto"/>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Annual review of Council's Counter Fraud Policies</w:t>
            </w:r>
            <w:r w:rsidRPr="0011449F">
              <w:rPr>
                <w:rFonts w:asciiTheme="majorHAnsi" w:hAnsiTheme="majorHAnsi" w:cstheme="majorHAnsi"/>
                <w:b/>
              </w:rPr>
              <w:fldChar w:fldCharType="end"/>
            </w:r>
          </w:p>
        </w:tc>
        <w:tc>
          <w:tcPr>
            <w:tcW w:w="2410" w:type="dxa"/>
            <w:vAlign w:val="center"/>
          </w:tcPr>
          <w:p w:rsidR="0011449F" w:rsidRPr="00D4431F"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rsidR="00D4431F" w:rsidRPr="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8E66F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D4431F" w:rsidRPr="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rsidR="00D4431F" w:rsidRPr="005274E4" w:rsidP="005C459D">
            <w:pPr>
              <w:spacing w:after="0" w:line="240" w:lineRule="auto"/>
              <w:jc w:val="both"/>
              <w:rPr>
                <w:rFonts w:cstheme="minorHAnsi"/>
                <w:b/>
              </w:rPr>
            </w:pPr>
            <w:r w:rsidRPr="005274E4">
              <w:rPr>
                <w:rFonts w:cstheme="minorHAnsi"/>
                <w:b/>
              </w:rPr>
              <w:t>N</w:t>
            </w:r>
            <w:r w:rsidRPr="005274E4" w:rsidR="002946DE">
              <w:rPr>
                <w:rFonts w:cstheme="minorHAnsi"/>
                <w:b/>
              </w:rPr>
              <w:t xml:space="preserve">o </w:t>
            </w:r>
          </w:p>
          <w:p w:rsidR="00D4431F" w:rsidRPr="00D4431F" w:rsidP="005C459D">
            <w:pPr>
              <w:spacing w:after="0" w:line="240" w:lineRule="auto"/>
              <w:jc w:val="both"/>
              <w:rPr>
                <w:rFonts w:cstheme="minorHAnsi"/>
                <w:bCs/>
                <w:i/>
              </w:rPr>
            </w:pPr>
          </w:p>
        </w:tc>
      </w:tr>
    </w:tbl>
    <w:p w:rsidR="00D4431F" w:rsidRPr="00D4431F" w:rsidP="00D4431F">
      <w:pPr>
        <w:spacing w:line="240" w:lineRule="auto"/>
        <w:jc w:val="both"/>
        <w:rPr>
          <w:rFonts w:cstheme="minorHAnsi"/>
          <w:b/>
          <w:bCs/>
        </w:rPr>
      </w:pPr>
    </w:p>
    <w:p w:rsidR="00D4431F" w:rsidRPr="00CA04F3"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rsidR="006149F1" w:rsidRPr="00CA04F3" w:rsidP="006149F1">
      <w:pPr>
        <w:numPr>
          <w:ilvl w:val="0"/>
          <w:numId w:val="8"/>
        </w:numPr>
        <w:spacing w:after="0" w:line="240" w:lineRule="auto"/>
        <w:jc w:val="both"/>
        <w:rPr>
          <w:rFonts w:cstheme="minorHAnsi"/>
          <w:bCs/>
          <w:i/>
        </w:rPr>
      </w:pPr>
      <w:r w:rsidRPr="00D4431F">
        <w:rPr>
          <w:rFonts w:cstheme="minorHAnsi"/>
          <w:bCs/>
          <w:i/>
        </w:rPr>
        <w:t xml:space="preserve"> </w:t>
      </w:r>
      <w:r w:rsidR="005274E4">
        <w:rPr>
          <w:rFonts w:cstheme="minorHAnsi"/>
          <w:bCs/>
          <w:iCs/>
        </w:rPr>
        <w:t xml:space="preserve">This report comes before Members to note the revised </w:t>
      </w:r>
      <w:r w:rsidR="00F009AB">
        <w:rPr>
          <w:rFonts w:cstheme="minorHAnsi"/>
          <w:bCs/>
          <w:iCs/>
        </w:rPr>
        <w:t>Anti-Fraud</w:t>
      </w:r>
      <w:r w:rsidR="005274E4">
        <w:rPr>
          <w:rFonts w:cstheme="minorHAnsi"/>
          <w:bCs/>
          <w:iCs/>
        </w:rPr>
        <w:t xml:space="preserve">, Bribery and Corruption Policy, the Fraud Response Plan and the Whistleblowing Policy. </w:t>
      </w:r>
    </w:p>
    <w:p w:rsidR="006149F1" w:rsidRPr="00CA04F3"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rsidR="00D4431F" w:rsidRPr="00CA04F3" w:rsidP="00CA04F3">
      <w:pPr>
        <w:numPr>
          <w:ilvl w:val="0"/>
          <w:numId w:val="8"/>
        </w:numPr>
        <w:spacing w:after="0" w:line="240" w:lineRule="auto"/>
        <w:jc w:val="both"/>
        <w:rPr>
          <w:rFonts w:cstheme="minorHAnsi"/>
          <w:bCs/>
        </w:rPr>
      </w:pPr>
      <w:r w:rsidRPr="005274E4">
        <w:rPr>
          <w:rFonts w:cstheme="minorHAnsi"/>
          <w:bCs/>
          <w:iCs/>
        </w:rPr>
        <w:t>Members are asked to note the policies as set out in Appendices A, B and C</w:t>
      </w:r>
      <w:r>
        <w:rPr>
          <w:rFonts w:cstheme="minorHAnsi"/>
          <w:bCs/>
          <w:i/>
        </w:rPr>
        <w:t>.</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rsidR="006149F1" w:rsidRPr="00F009AB" w:rsidP="006149F1">
      <w:pPr>
        <w:numPr>
          <w:ilvl w:val="0"/>
          <w:numId w:val="8"/>
        </w:numPr>
        <w:spacing w:after="0" w:line="240" w:lineRule="auto"/>
        <w:jc w:val="both"/>
        <w:rPr>
          <w:rFonts w:cstheme="minorHAnsi"/>
          <w:bCs/>
          <w:i/>
        </w:rPr>
      </w:pPr>
      <w:r w:rsidRPr="00F009AB">
        <w:rPr>
          <w:rFonts w:cstheme="minorHAnsi"/>
          <w:bCs/>
        </w:rPr>
        <w:t xml:space="preserve"> The report relates to the following corporate priorities: </w:t>
      </w:r>
    </w:p>
    <w:p w:rsidR="00F009AB" w:rsidRPr="00F009AB" w:rsidP="00F009AB">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3402"/>
        <w:gridCol w:w="851"/>
      </w:tblGrid>
      <w:tr w:rsidTr="008E66FA">
        <w:tblPrEx>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An exemplary council</w:t>
            </w:r>
          </w:p>
          <w:p w:rsidR="00D4431F" w:rsidRPr="00D4431F" w:rsidP="006149F1">
            <w:pPr>
              <w:spacing w:after="0" w:line="240" w:lineRule="auto"/>
              <w:jc w:val="both"/>
              <w:rPr>
                <w:rFonts w:cstheme="minorHAnsi"/>
                <w:bCs/>
              </w:rPr>
            </w:pPr>
          </w:p>
        </w:tc>
        <w:tc>
          <w:tcPr>
            <w:tcW w:w="850" w:type="dxa"/>
            <w:shd w:val="clear" w:color="auto" w:fill="auto"/>
          </w:tcPr>
          <w:p w:rsidR="00D4431F" w:rsidRPr="00D4431F" w:rsidP="006149F1">
            <w:pPr>
              <w:spacing w:after="0" w:line="240" w:lineRule="auto"/>
              <w:jc w:val="both"/>
              <w:rPr>
                <w:rFonts w:cstheme="minorHAnsi"/>
                <w:bCs/>
              </w:rPr>
            </w:pPr>
            <w:r>
              <w:rPr>
                <w:rFonts w:cstheme="minorHAnsi"/>
                <w:bCs/>
              </w:rPr>
              <w:t>x</w:t>
            </w:r>
          </w:p>
        </w:tc>
        <w:tc>
          <w:tcPr>
            <w:tcW w:w="3402" w:type="dxa"/>
          </w:tcPr>
          <w:p w:rsidR="00D4431F" w:rsidRPr="00D4431F" w:rsidP="006149F1">
            <w:pPr>
              <w:spacing w:after="0" w:line="240" w:lineRule="auto"/>
              <w:jc w:val="both"/>
              <w:rPr>
                <w:rFonts w:cstheme="minorHAnsi"/>
                <w:bCs/>
              </w:rPr>
            </w:pPr>
            <w:r w:rsidRPr="00D4431F">
              <w:rPr>
                <w:rFonts w:cstheme="minorHAnsi"/>
                <w:bCs/>
              </w:rPr>
              <w:t>Thriving communities</w:t>
            </w:r>
          </w:p>
        </w:tc>
        <w:tc>
          <w:tcPr>
            <w:tcW w:w="851" w:type="dxa"/>
          </w:tcPr>
          <w:p w:rsidR="00D4431F" w:rsidRPr="00D4431F" w:rsidP="006149F1">
            <w:pPr>
              <w:spacing w:after="0" w:line="240" w:lineRule="auto"/>
              <w:jc w:val="both"/>
              <w:rPr>
                <w:rFonts w:cstheme="minorHAnsi"/>
                <w:bCs/>
              </w:rPr>
            </w:pPr>
          </w:p>
        </w:tc>
      </w:tr>
      <w:tr w:rsidTr="008E66FA">
        <w:tblPrEx>
          <w:tblW w:w="9526" w:type="dxa"/>
          <w:tblInd w:w="534" w:type="dxa"/>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rsidR="00D4431F" w:rsidRPr="00D4431F" w:rsidP="006149F1">
            <w:pPr>
              <w:spacing w:after="0" w:line="240" w:lineRule="auto"/>
              <w:jc w:val="both"/>
              <w:rPr>
                <w:rFonts w:cstheme="minorHAnsi"/>
                <w:bCs/>
              </w:rPr>
            </w:pPr>
          </w:p>
        </w:tc>
        <w:tc>
          <w:tcPr>
            <w:tcW w:w="3402" w:type="dxa"/>
          </w:tcPr>
          <w:p w:rsidR="00D4431F" w:rsidRPr="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rsidR="00D4431F" w:rsidRPr="00D4431F" w:rsidP="006149F1">
            <w:pPr>
              <w:spacing w:after="0" w:line="240" w:lineRule="auto"/>
              <w:jc w:val="both"/>
              <w:rPr>
                <w:rFonts w:cstheme="minorHAnsi"/>
                <w:bCs/>
              </w:rPr>
            </w:pPr>
          </w:p>
        </w:tc>
      </w:tr>
    </w:tbl>
    <w:p w:rsidR="00D4431F" w:rsidRPr="00D4431F" w:rsidP="00D4431F">
      <w:pPr>
        <w:spacing w:line="240" w:lineRule="auto"/>
        <w:jc w:val="both"/>
        <w:rPr>
          <w:rFonts w:cstheme="minorHAnsi"/>
          <w:bCs/>
        </w:rPr>
      </w:pP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rsidR="006149F1" w:rsidRPr="00CA04F3" w:rsidP="00CA04F3">
      <w:pPr>
        <w:numPr>
          <w:ilvl w:val="0"/>
          <w:numId w:val="8"/>
        </w:numPr>
        <w:spacing w:after="0" w:line="240" w:lineRule="auto"/>
        <w:jc w:val="both"/>
        <w:rPr>
          <w:rFonts w:cstheme="minorHAnsi"/>
          <w:bCs/>
          <w:i/>
        </w:rPr>
      </w:pPr>
      <w:r w:rsidRPr="00D4431F">
        <w:rPr>
          <w:rFonts w:cstheme="minorHAnsi"/>
          <w:bCs/>
          <w:i/>
        </w:rPr>
        <w:t xml:space="preserve"> </w:t>
      </w:r>
      <w:r w:rsidR="005274E4">
        <w:rPr>
          <w:rFonts w:cstheme="minorHAnsi"/>
          <w:bCs/>
          <w:iCs/>
        </w:rPr>
        <w:t xml:space="preserve">In administering its responsibilities, the Council has a duty to protect public funds and to raise awareness in relation to any potential threats that may affect the </w:t>
      </w:r>
      <w:r w:rsidR="00F009AB">
        <w:rPr>
          <w:rFonts w:cstheme="minorHAnsi"/>
          <w:bCs/>
          <w:iCs/>
        </w:rPr>
        <w:t>financial and</w:t>
      </w:r>
      <w:r w:rsidR="005274E4">
        <w:rPr>
          <w:rFonts w:cstheme="minorHAnsi"/>
          <w:bCs/>
          <w:iCs/>
        </w:rPr>
        <w:t xml:space="preserve">/or reputational position of the organisation.  The suite of counter fraud policies reinforces the Council’s commitment to the prevention and detection of fraudulent activity.  They also support the Local Code of Governance in promoting values for the Council and demonstrating the values of good governance through upholding high standards of conduct and behaviour. </w:t>
      </w:r>
    </w:p>
    <w:p w:rsidR="00D4431F" w:rsidRPr="00CA04F3" w:rsidP="00CA04F3">
      <w:pPr>
        <w:pStyle w:val="Heading2"/>
        <w:rPr>
          <w:rFonts w:asciiTheme="majorHAnsi" w:hAnsiTheme="majorHAnsi" w:cstheme="majorHAnsi"/>
          <w:sz w:val="22"/>
        </w:rPr>
      </w:pPr>
      <w:r>
        <w:rPr>
          <w:rFonts w:asciiTheme="majorHAnsi" w:hAnsiTheme="majorHAnsi" w:cstheme="majorHAnsi"/>
          <w:sz w:val="22"/>
        </w:rPr>
        <w:t>Counter Fraud Policies</w:t>
      </w:r>
    </w:p>
    <w:p w:rsidR="00F34E4E" w:rsidRPr="00F34E4E" w:rsidP="00CA04F3">
      <w:pPr>
        <w:numPr>
          <w:ilvl w:val="0"/>
          <w:numId w:val="8"/>
        </w:numPr>
        <w:spacing w:after="0" w:line="240" w:lineRule="auto"/>
        <w:jc w:val="both"/>
        <w:rPr>
          <w:rFonts w:cstheme="minorHAnsi"/>
          <w:bCs/>
        </w:rPr>
      </w:pPr>
      <w:r>
        <w:rPr>
          <w:rFonts w:cstheme="minorHAnsi"/>
          <w:bCs/>
          <w:iCs/>
        </w:rPr>
        <w:t xml:space="preserve">The general aim </w:t>
      </w:r>
      <w:r>
        <w:rPr>
          <w:rFonts w:cstheme="minorHAnsi"/>
          <w:bCs/>
          <w:iCs/>
        </w:rPr>
        <w:t xml:space="preserve">of all the Council’s counter fraud policies is to reduce the occurrence and impact of fraud, corruption and bribery on the organisation and provide an effective channel of communication for anyone who has concerns or suspicions of malpractice.  </w:t>
      </w:r>
    </w:p>
    <w:p w:rsidR="00F34E4E" w:rsidRPr="00F34E4E" w:rsidP="00CA04F3">
      <w:pPr>
        <w:numPr>
          <w:ilvl w:val="0"/>
          <w:numId w:val="8"/>
        </w:numPr>
        <w:spacing w:after="0" w:line="240" w:lineRule="auto"/>
        <w:jc w:val="both"/>
        <w:rPr>
          <w:rFonts w:cstheme="minorHAnsi"/>
          <w:bCs/>
        </w:rPr>
      </w:pPr>
      <w:r>
        <w:rPr>
          <w:rFonts w:cstheme="minorHAnsi"/>
          <w:bCs/>
          <w:iCs/>
        </w:rPr>
        <w:t xml:space="preserve">The Council had both an </w:t>
      </w:r>
      <w:r w:rsidR="008D04D2">
        <w:rPr>
          <w:rFonts w:cstheme="minorHAnsi"/>
          <w:bCs/>
          <w:iCs/>
        </w:rPr>
        <w:t>Anti-Fraud</w:t>
      </w:r>
      <w:r>
        <w:rPr>
          <w:rFonts w:cstheme="minorHAnsi"/>
          <w:bCs/>
          <w:iCs/>
        </w:rPr>
        <w:t xml:space="preserve"> and Corruption Statement and </w:t>
      </w:r>
      <w:r w:rsidR="008D04D2">
        <w:rPr>
          <w:rFonts w:cstheme="minorHAnsi"/>
          <w:bCs/>
          <w:iCs/>
        </w:rPr>
        <w:t>Strategy</w:t>
      </w:r>
      <w:r>
        <w:rPr>
          <w:rFonts w:cstheme="minorHAnsi"/>
          <w:bCs/>
          <w:iCs/>
        </w:rPr>
        <w:t xml:space="preserve"> and a separate Bribery Policy.  These documents have been combined and revised in light of best practice, particularly the guidance from CIPFA Code of Practice – Managing the Risk of Fraud and Corruption and the four key themes of the Local Government Fraud Strategy – Fighting Fraud and Corruption Locally (2020).</w:t>
      </w:r>
    </w:p>
    <w:p w:rsidR="00F34E4E" w:rsidRPr="00F34E4E" w:rsidP="00F34E4E">
      <w:pPr>
        <w:spacing w:after="0" w:line="240" w:lineRule="auto"/>
        <w:ind w:left="720"/>
        <w:jc w:val="both"/>
        <w:rPr>
          <w:rFonts w:cstheme="minorHAnsi"/>
          <w:bCs/>
        </w:rPr>
      </w:pPr>
    </w:p>
    <w:p w:rsidR="00F34E4E" w:rsidRPr="00F34E4E" w:rsidP="00CA04F3">
      <w:pPr>
        <w:numPr>
          <w:ilvl w:val="0"/>
          <w:numId w:val="8"/>
        </w:numPr>
        <w:spacing w:after="0" w:line="240" w:lineRule="auto"/>
        <w:jc w:val="both"/>
        <w:rPr>
          <w:rFonts w:cstheme="minorHAnsi"/>
          <w:bCs/>
        </w:rPr>
      </w:pPr>
      <w:r>
        <w:rPr>
          <w:rFonts w:cstheme="minorHAnsi"/>
          <w:bCs/>
          <w:iCs/>
        </w:rPr>
        <w:t>The themes comprise the following:</w:t>
      </w:r>
    </w:p>
    <w:p w:rsidR="00F34E4E" w:rsidP="00F34E4E">
      <w:pPr>
        <w:pStyle w:val="ListParagraph"/>
        <w:rPr>
          <w:rFonts w:cstheme="minorHAnsi"/>
          <w:bCs/>
        </w:rPr>
      </w:pPr>
    </w:p>
    <w:p w:rsidR="00F34E4E" w:rsidP="00F34E4E">
      <w:pPr>
        <w:pStyle w:val="ListParagraph"/>
        <w:numPr>
          <w:ilvl w:val="0"/>
          <w:numId w:val="9"/>
        </w:numPr>
        <w:spacing w:after="0" w:line="240" w:lineRule="auto"/>
        <w:jc w:val="both"/>
        <w:rPr>
          <w:rFonts w:cstheme="minorHAnsi"/>
          <w:bCs/>
        </w:rPr>
      </w:pPr>
      <w:r>
        <w:rPr>
          <w:rFonts w:cstheme="minorHAnsi"/>
          <w:bCs/>
        </w:rPr>
        <w:t>Acknowledge the responsibility of the governing body for countering fraud and corruption;</w:t>
      </w:r>
    </w:p>
    <w:p w:rsidR="00F34E4E" w:rsidP="00F34E4E">
      <w:pPr>
        <w:pStyle w:val="ListParagraph"/>
        <w:numPr>
          <w:ilvl w:val="0"/>
          <w:numId w:val="9"/>
        </w:numPr>
        <w:spacing w:after="0" w:line="240" w:lineRule="auto"/>
        <w:jc w:val="both"/>
        <w:rPr>
          <w:rFonts w:cstheme="minorHAnsi"/>
          <w:bCs/>
        </w:rPr>
      </w:pPr>
      <w:r>
        <w:rPr>
          <w:rFonts w:cstheme="minorHAnsi"/>
          <w:bCs/>
        </w:rPr>
        <w:t>Identify the fraud and corruption risks;</w:t>
      </w:r>
    </w:p>
    <w:p w:rsidR="00F34E4E" w:rsidP="00F34E4E">
      <w:pPr>
        <w:pStyle w:val="ListParagraph"/>
        <w:numPr>
          <w:ilvl w:val="0"/>
          <w:numId w:val="9"/>
        </w:numPr>
        <w:spacing w:after="0" w:line="240" w:lineRule="auto"/>
        <w:jc w:val="both"/>
        <w:rPr>
          <w:rFonts w:cstheme="minorHAnsi"/>
          <w:bCs/>
        </w:rPr>
      </w:pPr>
      <w:r>
        <w:rPr>
          <w:rFonts w:cstheme="minorHAnsi"/>
          <w:bCs/>
        </w:rPr>
        <w:t>Develop an appropriate counter fraud and corruption strategy;</w:t>
      </w:r>
    </w:p>
    <w:p w:rsidR="00F34E4E" w:rsidP="00F34E4E">
      <w:pPr>
        <w:pStyle w:val="ListParagraph"/>
        <w:numPr>
          <w:ilvl w:val="0"/>
          <w:numId w:val="9"/>
        </w:numPr>
        <w:spacing w:after="0" w:line="240" w:lineRule="auto"/>
        <w:jc w:val="both"/>
        <w:rPr>
          <w:rFonts w:cstheme="minorHAnsi"/>
          <w:bCs/>
        </w:rPr>
      </w:pPr>
      <w:r>
        <w:rPr>
          <w:rFonts w:cstheme="minorHAnsi"/>
          <w:bCs/>
        </w:rPr>
        <w:t>Provide resources to implement the strategy;</w:t>
      </w:r>
    </w:p>
    <w:p w:rsidR="00F34E4E" w:rsidP="00F34E4E">
      <w:pPr>
        <w:pStyle w:val="ListParagraph"/>
        <w:numPr>
          <w:ilvl w:val="0"/>
          <w:numId w:val="9"/>
        </w:numPr>
        <w:spacing w:after="0" w:line="240" w:lineRule="auto"/>
        <w:jc w:val="both"/>
        <w:rPr>
          <w:rFonts w:cstheme="minorHAnsi"/>
          <w:bCs/>
        </w:rPr>
      </w:pPr>
      <w:r>
        <w:rPr>
          <w:rFonts w:cstheme="minorHAnsi"/>
          <w:bCs/>
        </w:rPr>
        <w:t>Take action in response to fraud and corruption.</w:t>
      </w:r>
    </w:p>
    <w:p w:rsidR="00F34E4E" w:rsidP="00F34E4E">
      <w:pPr>
        <w:pStyle w:val="ListParagraph"/>
        <w:spacing w:after="0" w:line="240" w:lineRule="auto"/>
        <w:ind w:left="1440"/>
        <w:jc w:val="both"/>
        <w:rPr>
          <w:rFonts w:cstheme="minorHAnsi"/>
          <w:bCs/>
        </w:rPr>
      </w:pPr>
    </w:p>
    <w:p w:rsidR="00F34E4E" w:rsidRPr="00F34E4E" w:rsidP="00F34E4E">
      <w:pPr>
        <w:pStyle w:val="ListParagraph"/>
        <w:spacing w:after="0" w:line="240" w:lineRule="auto"/>
        <w:jc w:val="both"/>
        <w:rPr>
          <w:rFonts w:cstheme="minorHAnsi"/>
          <w:b/>
        </w:rPr>
      </w:pPr>
      <w:r w:rsidRPr="00F34E4E">
        <w:rPr>
          <w:rFonts w:cstheme="minorHAnsi"/>
          <w:b/>
        </w:rPr>
        <w:t>Fraud Response Plan</w:t>
      </w:r>
    </w:p>
    <w:p w:rsidR="00F34E4E" w:rsidP="00F34E4E">
      <w:pPr>
        <w:pStyle w:val="ListParagraph"/>
        <w:rPr>
          <w:rFonts w:cstheme="minorHAnsi"/>
          <w:bCs/>
        </w:rPr>
      </w:pPr>
    </w:p>
    <w:p w:rsidR="00F34E4E" w:rsidP="00F34E4E">
      <w:pPr>
        <w:pStyle w:val="ListParagraph"/>
        <w:numPr>
          <w:ilvl w:val="0"/>
          <w:numId w:val="8"/>
        </w:numPr>
        <w:rPr>
          <w:rFonts w:cstheme="minorHAnsi"/>
          <w:bCs/>
        </w:rPr>
      </w:pPr>
      <w:r>
        <w:rPr>
          <w:rFonts w:cstheme="minorHAnsi"/>
          <w:bCs/>
        </w:rPr>
        <w:t>This document has been revised to reflect the Council’s current arrangements when a fraud is reported and sets out the responsibilities for those involved.</w:t>
      </w:r>
    </w:p>
    <w:p w:rsidR="00F34E4E" w:rsidP="00F34E4E">
      <w:pPr>
        <w:spacing w:after="0" w:line="240" w:lineRule="auto"/>
        <w:ind w:left="720"/>
        <w:jc w:val="both"/>
        <w:rPr>
          <w:rFonts w:cstheme="minorHAnsi"/>
          <w:b/>
        </w:rPr>
      </w:pPr>
      <w:r>
        <w:rPr>
          <w:rFonts w:cstheme="minorHAnsi"/>
          <w:b/>
        </w:rPr>
        <w:t>Whistleblowing Policy</w:t>
      </w:r>
    </w:p>
    <w:p w:rsidR="00F009AB" w:rsidP="00F34E4E">
      <w:pPr>
        <w:spacing w:after="0" w:line="240" w:lineRule="auto"/>
        <w:ind w:left="720"/>
        <w:jc w:val="both"/>
        <w:rPr>
          <w:rFonts w:cstheme="minorHAnsi"/>
          <w:b/>
        </w:rPr>
      </w:pPr>
    </w:p>
    <w:p w:rsidR="00F009AB" w:rsidP="00F009AB">
      <w:pPr>
        <w:pStyle w:val="ListParagraph"/>
        <w:numPr>
          <w:ilvl w:val="0"/>
          <w:numId w:val="8"/>
        </w:numPr>
        <w:spacing w:after="0" w:line="240" w:lineRule="auto"/>
        <w:jc w:val="both"/>
        <w:rPr>
          <w:rFonts w:cstheme="minorHAnsi"/>
          <w:bCs/>
        </w:rPr>
      </w:pPr>
      <w:r w:rsidRPr="00F009AB">
        <w:rPr>
          <w:rFonts w:cstheme="minorHAnsi"/>
          <w:bCs/>
        </w:rPr>
        <w:t>The Whistleblowing Policy has been amended with a view to making the policy clearer in terms of the roles and responsibilities of officers involved in dealing with referrals from Officers, Members, partner organisations and the public.</w:t>
      </w:r>
    </w:p>
    <w:p w:rsidR="00F009AB" w:rsidP="00F009AB">
      <w:pPr>
        <w:spacing w:after="0" w:line="240" w:lineRule="auto"/>
        <w:jc w:val="both"/>
        <w:rPr>
          <w:rFonts w:cstheme="minorHAnsi"/>
          <w:bCs/>
        </w:rPr>
      </w:pPr>
    </w:p>
    <w:p w:rsidR="00F009AB" w:rsidP="00F009AB">
      <w:pPr>
        <w:pStyle w:val="ListParagraph"/>
        <w:spacing w:after="0" w:line="240" w:lineRule="auto"/>
        <w:jc w:val="both"/>
        <w:rPr>
          <w:rFonts w:cstheme="minorHAnsi"/>
          <w:b/>
        </w:rPr>
      </w:pPr>
      <w:r>
        <w:rPr>
          <w:rFonts w:cstheme="minorHAnsi"/>
          <w:b/>
        </w:rPr>
        <w:t>Training and awareness</w:t>
      </w:r>
    </w:p>
    <w:p w:rsidR="00F009AB" w:rsidP="00F009AB">
      <w:pPr>
        <w:pStyle w:val="ListParagraph"/>
        <w:spacing w:after="0" w:line="240" w:lineRule="auto"/>
        <w:jc w:val="both"/>
        <w:rPr>
          <w:rFonts w:cstheme="minorHAnsi"/>
          <w:b/>
        </w:rPr>
      </w:pPr>
    </w:p>
    <w:p w:rsidR="00F009AB" w:rsidRPr="00F009AB" w:rsidP="00F009AB">
      <w:pPr>
        <w:pStyle w:val="ListParagraph"/>
        <w:numPr>
          <w:ilvl w:val="0"/>
          <w:numId w:val="8"/>
        </w:numPr>
        <w:spacing w:after="0" w:line="240" w:lineRule="auto"/>
        <w:jc w:val="both"/>
        <w:rPr>
          <w:rFonts w:cstheme="minorHAnsi"/>
          <w:bCs/>
        </w:rPr>
      </w:pPr>
      <w:r w:rsidRPr="00F009AB">
        <w:rPr>
          <w:rFonts w:cstheme="minorHAnsi"/>
          <w:bCs/>
        </w:rPr>
        <w:t>It is the intention to raise awareness of the revised policies by the completion of mandatory e-learning by officers.   The policies will also be available on the Council’s intranet and website.</w:t>
      </w:r>
    </w:p>
    <w:p w:rsidR="006149F1" w:rsidRPr="00F009AB" w:rsidP="00F34E4E">
      <w:pPr>
        <w:spacing w:after="0" w:line="240" w:lineRule="auto"/>
        <w:jc w:val="both"/>
        <w:rPr>
          <w:rFonts w:cstheme="minorHAnsi"/>
          <w:bCs/>
        </w:rPr>
      </w:pPr>
      <w:r w:rsidRPr="00F009AB">
        <w:rPr>
          <w:rFonts w:cstheme="minorHAnsi"/>
          <w:bCs/>
          <w:i/>
        </w:rPr>
        <w:t xml:space="preserve"> </w:t>
      </w:r>
    </w:p>
    <w:p w:rsidR="00D4431F" w:rsidP="00CA04F3">
      <w:pPr>
        <w:spacing w:after="0" w:line="240" w:lineRule="auto"/>
        <w:jc w:val="both"/>
        <w:rPr>
          <w:rFonts w:cstheme="minorHAnsi"/>
          <w:bCs/>
          <w:i/>
        </w:rPr>
      </w:pPr>
      <w:r w:rsidRPr="00D4431F">
        <w:rPr>
          <w:rFonts w:cstheme="minorHAnsi"/>
          <w:bCs/>
          <w:i/>
        </w:rPr>
        <w:t>.</w:t>
      </w:r>
    </w:p>
    <w:p w:rsidR="00CA04F3" w:rsidRPr="00D4431F" w:rsidP="00CA04F3">
      <w:pPr>
        <w:spacing w:after="0" w:line="240" w:lineRule="auto"/>
        <w:jc w:val="both"/>
        <w:rPr>
          <w:rFonts w:cstheme="minorHAnsi"/>
          <w:bCs/>
          <w:i/>
        </w:rPr>
      </w:pP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Appendices</w:t>
      </w:r>
    </w:p>
    <w:p w:rsidR="00D4431F" w:rsidRPr="00F009AB" w:rsidP="006149F1">
      <w:pPr>
        <w:spacing w:after="0" w:line="240" w:lineRule="auto"/>
        <w:jc w:val="both"/>
        <w:rPr>
          <w:rFonts w:cstheme="minorHAnsi"/>
          <w:b/>
          <w:iCs/>
        </w:rPr>
      </w:pPr>
      <w:r w:rsidRPr="00F009AB">
        <w:rPr>
          <w:rFonts w:cstheme="minorHAnsi"/>
          <w:b/>
          <w:iCs/>
        </w:rPr>
        <w:t>Appendix A</w:t>
      </w:r>
      <w:r w:rsidR="00F009AB">
        <w:rPr>
          <w:rFonts w:cstheme="minorHAnsi"/>
          <w:b/>
          <w:iCs/>
        </w:rPr>
        <w:t xml:space="preserve"> – Anti Fraud, Bribery and Corruption Statement and Strategy</w:t>
      </w:r>
    </w:p>
    <w:p w:rsidR="00D4431F" w:rsidP="006149F1">
      <w:pPr>
        <w:spacing w:after="0" w:line="240" w:lineRule="auto"/>
        <w:jc w:val="both"/>
        <w:rPr>
          <w:rFonts w:cstheme="minorHAnsi"/>
          <w:b/>
          <w:iCs/>
        </w:rPr>
      </w:pPr>
      <w:r w:rsidRPr="00F009AB">
        <w:rPr>
          <w:rFonts w:cstheme="minorHAnsi"/>
          <w:b/>
          <w:iCs/>
        </w:rPr>
        <w:t xml:space="preserve">Appendix B </w:t>
      </w:r>
      <w:r w:rsidR="00F009AB">
        <w:rPr>
          <w:rFonts w:cstheme="minorHAnsi"/>
          <w:b/>
          <w:iCs/>
        </w:rPr>
        <w:t xml:space="preserve"> - Fraud Response Plan</w:t>
      </w:r>
    </w:p>
    <w:p w:rsidR="00F009AB" w:rsidRPr="00F009AB" w:rsidP="006149F1">
      <w:pPr>
        <w:spacing w:after="0" w:line="240" w:lineRule="auto"/>
        <w:jc w:val="both"/>
        <w:rPr>
          <w:rFonts w:cstheme="minorHAnsi"/>
          <w:b/>
          <w:iCs/>
        </w:rPr>
      </w:pPr>
      <w:r>
        <w:rPr>
          <w:rFonts w:cstheme="minorHAnsi"/>
          <w:b/>
          <w:iCs/>
        </w:rPr>
        <w:t>Appendix C – Whistleblowing Policy</w:t>
      </w:r>
    </w:p>
    <w:p w:rsidR="00D4431F" w:rsidRPr="00D4431F" w:rsidP="00D4431F">
      <w:pPr>
        <w:spacing w:line="240" w:lineRule="auto"/>
        <w:jc w:val="both"/>
        <w:rPr>
          <w:rFonts w:cstheme="minorHAnsi"/>
          <w:bCs/>
        </w:rPr>
      </w:pPr>
    </w:p>
    <w:p w:rsidR="00D4431F" w:rsidRPr="00D4431F" w:rsidP="00D4431F">
      <w:pPr>
        <w:spacing w:line="240" w:lineRule="auto"/>
        <w:jc w:val="both"/>
        <w:rPr>
          <w:rFonts w:cstheme="minorHAnsi"/>
          <w:bCs/>
        </w:rPr>
      </w:pPr>
    </w:p>
    <w:p w:rsidR="00D4431F" w:rsidP="006149F1">
      <w:pPr>
        <w:spacing w:after="0" w:line="240" w:lineRule="auto"/>
        <w:jc w:val="both"/>
        <w:rPr>
          <w:rFonts w:cstheme="minorHAnsi"/>
          <w:bCs/>
        </w:rPr>
      </w:pPr>
      <w:r>
        <w:rPr>
          <w:rFonts w:cstheme="minorHAnsi"/>
          <w:bCs/>
        </w:rPr>
        <w:t>Dawn Highton</w:t>
      </w:r>
    </w:p>
    <w:p w:rsidR="00F009AB" w:rsidP="006149F1">
      <w:pPr>
        <w:spacing w:after="0" w:line="240" w:lineRule="auto"/>
        <w:jc w:val="both"/>
        <w:rPr>
          <w:rFonts w:cstheme="minorHAnsi"/>
          <w:bCs/>
        </w:rPr>
      </w:pPr>
      <w:r>
        <w:rPr>
          <w:rFonts w:cstheme="minorHAnsi"/>
          <w:bCs/>
        </w:rPr>
        <w:t>Service Lead Audit and Risk</w:t>
      </w:r>
    </w:p>
    <w:p w:rsidR="00D4431F" w:rsidRPr="00D4431F" w:rsidP="006149F1">
      <w:pPr>
        <w:spacing w:after="0" w:line="240" w:lineRule="auto"/>
        <w:jc w:val="both"/>
        <w:rPr>
          <w:rFonts w:cstheme="minorHAnsi"/>
          <w:bCs/>
        </w:rPr>
      </w:pPr>
      <w:r w:rsidRPr="00D4431F">
        <w:rPr>
          <w:rFonts w:cstheme="minorHAnsi"/>
          <w:bCs/>
        </w:rPr>
        <w:t xml:space="preserve"> </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3534"/>
        <w:gridCol w:w="1470"/>
        <w:gridCol w:w="1106"/>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Dawn Highton</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Audit &amp; Risk</w:t>
            </w:r>
            <w:r>
              <w:rPr>
                <w:rFonts w:cstheme="minorHAnsi"/>
                <w:bCs/>
              </w:rPr>
              <w:fldChar w:fldCharType="end"/>
            </w:r>
            <w:r w:rsidRPr="00D4431F">
              <w:rPr>
                <w:rFonts w:cstheme="minorHAnsi"/>
                <w:bCs/>
              </w:rPr>
              <w:t>)</w:t>
            </w:r>
            <w:bookmarkStart w:id="0" w:name="_GoBack"/>
            <w:bookmarkEnd w:id="0"/>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sidR="00F009AB">
              <w:rPr>
                <w:rFonts w:cstheme="minorHAnsi"/>
                <w:bCs/>
              </w:rPr>
              <w:t>5625</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1/5/21</w:t>
            </w:r>
          </w:p>
        </w:tc>
      </w:tr>
    </w:tbl>
    <w:p w:rsidR="0025620C" w:rsidRPr="005C459D" w:rsidP="008D04D2">
      <w:pPr>
        <w:rPr>
          <w:rFonts w:cstheme="minorHAnsi"/>
          <w:bCs/>
          <w:color w:val="000000" w:themeColor="text1"/>
          <w:lang w:val="en-US"/>
        </w:rPr>
      </w:pPr>
    </w:p>
    <w:sectPr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04D5E04"/>
    <w:multiLevelType w:val="hybridMultilevel"/>
    <w:tmpl w:val="06FC5B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BF00E5"/>
    <w:multiLevelType w:val="hybridMultilevel"/>
    <w:tmpl w:val="0ED8B390"/>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4A7714"/>
    <w:multiLevelType w:val="hybridMultilevel"/>
    <w:tmpl w:val="2D08F6A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F25312B"/>
    <w:multiLevelType w:val="hybridMultilevel"/>
    <w:tmpl w:val="E056D872"/>
    <w:lvl w:ilvl="0">
      <w:start w:val="1"/>
      <w:numFmt w:val="decimal"/>
      <w:lvlText w:val="%1."/>
      <w:lvlJc w:val="left"/>
      <w:pPr>
        <w:ind w:left="1440" w:hanging="360"/>
      </w:pPr>
      <w:rPr>
        <w:rFonts w:ascii="Arial" w:hAnsi="Arial" w:hint="default"/>
        <w:b/>
        <w:i w:val="0"/>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3"/>
  </w:num>
  <w:num w:numId="6">
    <w:abstractNumId w:val="0"/>
  </w:num>
  <w:num w:numId="7">
    <w:abstractNumId w:val="1"/>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7E7E18-F1C4-4947-B304-44FF443C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7</cp:revision>
  <cp:lastPrinted>2014-03-21T13:56:00Z</cp:lastPrinted>
  <dcterms:created xsi:type="dcterms:W3CDTF">2021-01-25T09:54:00Z</dcterms:created>
  <dcterms:modified xsi:type="dcterms:W3CDTF">2021-04-30T23:51:00Z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Annual review of Council's Counter Fraud Policies</vt:lpwstr>
  </property>
  <property fmtid="{D5CDD505-2E9C-101B-9397-08002B2CF9AE}" pid="4" name="LeadDirector">
    <vt:lpwstr>Director of Governance and Monitoring Officer</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Shared Service Lead- Audit &amp; Risk</vt:lpwstr>
  </property>
  <property fmtid="{D5CDD505-2E9C-101B-9397-08002B2CF9AE}" pid="8" name="MeetingDate">
    <vt:lpwstr>Tuesday, 25 May 2021</vt:lpwstr>
  </property>
</Properties>
</file>